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EB41F4" w:rsidRPr="001B2595" w:rsidTr="00EB41F4">
        <w:tc>
          <w:tcPr>
            <w:tcW w:w="2891" w:type="dxa"/>
          </w:tcPr>
          <w:p w:rsidR="00EB41F4" w:rsidRPr="001B2595" w:rsidRDefault="00EB41F4" w:rsidP="00EB41F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Continuidad</w:t>
            </w:r>
          </w:p>
        </w:tc>
        <w:tc>
          <w:tcPr>
            <w:tcW w:w="2917" w:type="dxa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EB41F4" w:rsidRPr="001B2595" w:rsidTr="00EB41F4">
        <w:tc>
          <w:tcPr>
            <w:tcW w:w="2891" w:type="dxa"/>
          </w:tcPr>
          <w:p w:rsidR="00EB41F4" w:rsidRPr="001B2595" w:rsidRDefault="00EB41F4" w:rsidP="00EB41F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</w:tr>
      <w:tr w:rsidR="00EB41F4" w:rsidRPr="001B2595" w:rsidTr="00EB41F4">
        <w:tc>
          <w:tcPr>
            <w:tcW w:w="8720" w:type="dxa"/>
            <w:gridSpan w:val="3"/>
            <w:vAlign w:val="center"/>
          </w:tcPr>
          <w:p w:rsidR="00EB41F4" w:rsidRPr="001B2595" w:rsidRDefault="00EB41F4" w:rsidP="00EB41F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EB41F4" w:rsidRPr="001B2595" w:rsidTr="00EB41F4">
        <w:trPr>
          <w:trHeight w:val="2316"/>
        </w:trPr>
        <w:tc>
          <w:tcPr>
            <w:tcW w:w="8720" w:type="dxa"/>
            <w:gridSpan w:val="3"/>
            <w:vAlign w:val="center"/>
          </w:tcPr>
          <w:p w:rsidR="00EB41F4" w:rsidRPr="00831653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Se soluciona con el diseño de un plan de beneficios definido, garantizado a través de una RISS?</w:t>
            </w:r>
          </w:p>
          <w:p w:rsidR="000E79DD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 xml:space="preserve">Cuáles serán los mecanismos que garanticen la continuidad de la atención? </w:t>
            </w:r>
          </w:p>
          <w:p w:rsidR="00EB41F4" w:rsidRPr="00831653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¿Cómo contribuirán en esto los equipos básicos de salud, los sistemas de información integrados?</w:t>
            </w:r>
          </w:p>
          <w:p w:rsidR="00EB41F4" w:rsidRPr="00831653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¿Cómo se deben organizar los equipos de atención en relación con las redes para garantizar continuidad?</w:t>
            </w:r>
          </w:p>
          <w:p w:rsidR="00EB41F4" w:rsidRPr="00831653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¿Qué mecanismos se pueden implementar para monitorear la continuidad y garantizar capacidad resolutiva de los equipos básicos en relación con las indicaciones, intervenciones y acciones ejecutadas en otros niveles, en otros actores y áreas de actuación?</w:t>
            </w:r>
          </w:p>
          <w:p w:rsidR="00EB41F4" w:rsidRPr="00831653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¿Qué incentivos e indicadores se deben desarrollar para lograr y garantizar continuidad?</w:t>
            </w:r>
          </w:p>
          <w:p w:rsidR="00EB41F4" w:rsidRPr="00831653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¿Qué mecanismos desarrollar para que las normas técnicas y guías de eventos de interés en salud pública se cumplan en continuidad, bajo condiciones de relación de responsabilidades entre EPS / IPS / ET?</w:t>
            </w:r>
          </w:p>
          <w:p w:rsidR="00EB41F4" w:rsidRPr="00831653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¿Qué sistemas de información e historias clínicas deben soportar la continuidad?</w:t>
            </w:r>
          </w:p>
          <w:p w:rsidR="00EB41F4" w:rsidRPr="00831653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¿Cómo fortalecer mecanismos de auditoria de registros clínicos y de relacionamiento de redes para fortalecer la continuidad?</w:t>
            </w:r>
          </w:p>
          <w:p w:rsidR="00EB41F4" w:rsidRPr="00831653" w:rsidRDefault="00831653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Có</w:t>
            </w:r>
            <w:r w:rsidRPr="00831653">
              <w:rPr>
                <w:rFonts w:ascii="Arial" w:hAnsi="Arial" w:cs="Arial"/>
                <w:sz w:val="24"/>
                <w:szCs w:val="24"/>
              </w:rPr>
              <w:t xml:space="preserve">mo se garantiza la atención  de la </w:t>
            </w:r>
            <w:r>
              <w:rPr>
                <w:rFonts w:ascii="Arial" w:hAnsi="Arial" w:cs="Arial"/>
                <w:sz w:val="24"/>
                <w:szCs w:val="24"/>
              </w:rPr>
              <w:t>APS e</w:t>
            </w:r>
            <w:r w:rsidRPr="00831653">
              <w:rPr>
                <w:rFonts w:ascii="Arial" w:hAnsi="Arial" w:cs="Arial"/>
                <w:sz w:val="24"/>
                <w:szCs w:val="24"/>
              </w:rPr>
              <w:t>n el caso de que se requieran diversos niveles de atención y se prolongue la atención.</w:t>
            </w:r>
          </w:p>
          <w:p w:rsidR="00EB41F4" w:rsidRPr="00831653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¿Qué aspectos debemos tener en cuenta para garantizar continuidad en los servicios?</w:t>
            </w:r>
          </w:p>
          <w:p w:rsidR="00EB41F4" w:rsidRPr="00831653" w:rsidRDefault="00EB41F4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¿Qué estrategias debemos utilizar para asegurar los procesos de continuidad en los servicios?</w:t>
            </w:r>
          </w:p>
          <w:p w:rsidR="00F43A03" w:rsidRPr="00831653" w:rsidRDefault="00F43A03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653">
              <w:rPr>
                <w:rFonts w:ascii="Arial" w:hAnsi="Arial" w:cs="Arial"/>
                <w:sz w:val="24"/>
                <w:szCs w:val="24"/>
              </w:rPr>
              <w:t>Cuáles serán los mecanismos de evaluación de la continuidad de los servicios?</w:t>
            </w:r>
          </w:p>
          <w:p w:rsidR="00904929" w:rsidRPr="00831653" w:rsidRDefault="003D13BB" w:rsidP="00831653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es-ES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26" type="#_x0000_t78" href="../../RISS-APS/DIMENSIONES Y CATEGORIAS DE APS.pptx" style="position:absolute;left:0;text-align:left;margin-left:453.55pt;margin-top:-.3pt;width:44.15pt;height:45.5pt;z-index:251658240" o:button="t">
                  <v:fill o:detectmouseclick="t"/>
                </v:shape>
              </w:pict>
            </w:r>
            <w:r w:rsidR="00904929" w:rsidRPr="00831653">
              <w:rPr>
                <w:rFonts w:ascii="Arial" w:hAnsi="Arial" w:cs="Arial"/>
                <w:sz w:val="24"/>
                <w:szCs w:val="24"/>
              </w:rPr>
              <w:t>Cuáles serán los mecanismos de referencia y contra</w:t>
            </w:r>
            <w:r w:rsidR="00831653">
              <w:rPr>
                <w:rFonts w:ascii="Arial" w:hAnsi="Arial" w:cs="Arial"/>
                <w:sz w:val="24"/>
                <w:szCs w:val="24"/>
              </w:rPr>
              <w:t>r</w:t>
            </w:r>
            <w:r w:rsidR="00904929" w:rsidRPr="00831653">
              <w:rPr>
                <w:rFonts w:ascii="Arial" w:hAnsi="Arial" w:cs="Arial"/>
                <w:sz w:val="24"/>
                <w:szCs w:val="24"/>
              </w:rPr>
              <w:t>referencia más efectiva para no afectar la atención entre los diferentes niveles de complejidad?</w:t>
            </w:r>
          </w:p>
          <w:p w:rsidR="00EB41F4" w:rsidRPr="00831653" w:rsidRDefault="00EB41F4" w:rsidP="00831653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1F4" w:rsidRPr="001B2595" w:rsidTr="00EB41F4">
        <w:tc>
          <w:tcPr>
            <w:tcW w:w="8720" w:type="dxa"/>
            <w:gridSpan w:val="3"/>
            <w:vAlign w:val="center"/>
          </w:tcPr>
          <w:p w:rsidR="00EB41F4" w:rsidRPr="001B2595" w:rsidRDefault="00EB41F4" w:rsidP="00831653">
            <w:pPr>
              <w:spacing w:before="24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lastRenderedPageBreak/>
              <w:t>COMENTARIOS U OBSERVACIONES SOBRE LA CATEGORIA</w:t>
            </w:r>
          </w:p>
        </w:tc>
      </w:tr>
      <w:tr w:rsidR="00EB41F4" w:rsidRPr="001B2595" w:rsidTr="00EB41F4">
        <w:tc>
          <w:tcPr>
            <w:tcW w:w="8720" w:type="dxa"/>
            <w:gridSpan w:val="3"/>
            <w:vAlign w:val="center"/>
          </w:tcPr>
          <w:p w:rsidR="00EB41F4" w:rsidRPr="001B2595" w:rsidRDefault="00EB41F4" w:rsidP="00EB41F4">
            <w:pPr>
              <w:spacing w:after="0" w:line="240" w:lineRule="auto"/>
              <w:jc w:val="both"/>
            </w:pP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  <w:p w:rsidR="00EB41F4" w:rsidRPr="001B2595" w:rsidRDefault="00EB41F4" w:rsidP="00EB41F4">
            <w:pPr>
              <w:spacing w:after="0" w:line="240" w:lineRule="auto"/>
              <w:jc w:val="both"/>
            </w:pPr>
          </w:p>
        </w:tc>
      </w:tr>
    </w:tbl>
    <w:p w:rsidR="00D46B3E" w:rsidRDefault="009634A3"/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4A3" w:rsidRDefault="009634A3" w:rsidP="00EB41F4">
      <w:pPr>
        <w:spacing w:after="0" w:line="240" w:lineRule="auto"/>
      </w:pPr>
      <w:r>
        <w:separator/>
      </w:r>
    </w:p>
  </w:endnote>
  <w:endnote w:type="continuationSeparator" w:id="0">
    <w:p w:rsidR="009634A3" w:rsidRDefault="009634A3" w:rsidP="00EB4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4A3" w:rsidRDefault="009634A3" w:rsidP="00EB41F4">
      <w:pPr>
        <w:spacing w:after="0" w:line="240" w:lineRule="auto"/>
      </w:pPr>
      <w:r>
        <w:separator/>
      </w:r>
    </w:p>
  </w:footnote>
  <w:footnote w:type="continuationSeparator" w:id="0">
    <w:p w:rsidR="009634A3" w:rsidRDefault="009634A3" w:rsidP="00EB4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1F4" w:rsidRPr="00EB41F4" w:rsidRDefault="00EB41F4" w:rsidP="00EB41F4">
    <w:pPr>
      <w:pStyle w:val="Encabezado"/>
      <w:jc w:val="center"/>
      <w:rPr>
        <w:sz w:val="52"/>
      </w:rPr>
    </w:pPr>
    <w:r w:rsidRPr="00EB41F4">
      <w:rPr>
        <w:b/>
        <w:sz w:val="52"/>
      </w:rPr>
      <w:t>CONTINUIDAD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68C0"/>
    <w:multiLevelType w:val="hybridMultilevel"/>
    <w:tmpl w:val="D5E442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B41F4"/>
    <w:rsid w:val="000C2522"/>
    <w:rsid w:val="000E79DD"/>
    <w:rsid w:val="00180130"/>
    <w:rsid w:val="003D13BB"/>
    <w:rsid w:val="00415C43"/>
    <w:rsid w:val="00522596"/>
    <w:rsid w:val="0057619F"/>
    <w:rsid w:val="006A6872"/>
    <w:rsid w:val="00776B8A"/>
    <w:rsid w:val="00831653"/>
    <w:rsid w:val="008E5326"/>
    <w:rsid w:val="00904929"/>
    <w:rsid w:val="009634A3"/>
    <w:rsid w:val="00963C89"/>
    <w:rsid w:val="00973FAF"/>
    <w:rsid w:val="00A27B2B"/>
    <w:rsid w:val="00A40F8E"/>
    <w:rsid w:val="00BB692D"/>
    <w:rsid w:val="00EB41F4"/>
    <w:rsid w:val="00F43A03"/>
    <w:rsid w:val="00F5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1F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41F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EB41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B41F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EB41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B41F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280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6</cp:revision>
  <dcterms:created xsi:type="dcterms:W3CDTF">2011-07-14T02:57:00Z</dcterms:created>
  <dcterms:modified xsi:type="dcterms:W3CDTF">2011-07-14T18:42:00Z</dcterms:modified>
</cp:coreProperties>
</file>